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7" w:rsidRPr="00CD4256" w:rsidRDefault="00564817">
      <w:pPr>
        <w:spacing w:before="10"/>
        <w:rPr>
          <w:rFonts w:ascii="Times New Roman" w:eastAsia="Times New Roman" w:hAnsi="Times New Roman" w:cs="Times New Roman"/>
          <w:lang w:val="bg-BG"/>
        </w:rPr>
      </w:pPr>
    </w:p>
    <w:p w:rsidR="00564817" w:rsidRPr="00CD4256" w:rsidRDefault="006268D0">
      <w:pPr>
        <w:pStyle w:val="Heading1"/>
        <w:spacing w:before="69"/>
        <w:ind w:left="2475" w:right="2823"/>
        <w:rPr>
          <w:b w:val="0"/>
          <w:bCs w:val="0"/>
          <w:lang w:val="bg-BG"/>
        </w:rPr>
      </w:pPr>
      <w:r w:rsidRPr="00CD4256">
        <w:rPr>
          <w:lang w:val="bg-BG"/>
        </w:rPr>
        <w:t>МЕТОДИКА ЗА ОЦЕНКА НА</w:t>
      </w:r>
      <w:r w:rsidRPr="00CD4256">
        <w:rPr>
          <w:spacing w:val="-6"/>
          <w:lang w:val="bg-BG"/>
        </w:rPr>
        <w:t xml:space="preserve"> </w:t>
      </w:r>
      <w:r w:rsidRPr="00CD4256">
        <w:rPr>
          <w:lang w:val="bg-BG"/>
        </w:rPr>
        <w:t>ОФЕРТИТЕ</w:t>
      </w:r>
    </w:p>
    <w:p w:rsidR="00564817" w:rsidRPr="00CD4256" w:rsidRDefault="005648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564817" w:rsidRPr="006268D0" w:rsidRDefault="006268D0">
      <w:pPr>
        <w:ind w:left="156" w:right="57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42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процедура за избор на изпълнител с публична покана с </w:t>
      </w:r>
      <w:r w:rsidRPr="006268D0">
        <w:rPr>
          <w:rFonts w:ascii="Times New Roman" w:eastAsia="Times New Roman" w:hAnsi="Times New Roman"/>
          <w:sz w:val="24"/>
          <w:szCs w:val="24"/>
          <w:lang w:val="bg-BG"/>
        </w:rPr>
        <w:t xml:space="preserve">предмет: </w:t>
      </w:r>
      <w:r w:rsidRPr="006268D0">
        <w:rPr>
          <w:rFonts w:ascii="Times New Roman" w:eastAsia="Times New Roman" w:hAnsi="Times New Roman"/>
          <w:b/>
          <w:sz w:val="24"/>
          <w:szCs w:val="24"/>
          <w:lang w:val="bg-BG"/>
        </w:rPr>
        <w:t>Доставка и монтаж на 2 бр. Pick and Place машини (монтажен автомат – автоматична „машина за монтаж на SMD електронни компоненти) с комплект фидери за монтаж на електронни компоненти и специализиран софтуер за тях”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64817" w:rsidRPr="006268D0" w:rsidRDefault="00564817">
      <w:pPr>
        <w:spacing w:before="7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64817" w:rsidRPr="00CD4256" w:rsidRDefault="006268D0">
      <w:pPr>
        <w:pStyle w:val="BodyText"/>
        <w:ind w:right="573"/>
        <w:jc w:val="both"/>
        <w:rPr>
          <w:lang w:val="bg-BG"/>
        </w:rPr>
      </w:pPr>
      <w:r w:rsidRPr="00CD4256">
        <w:rPr>
          <w:lang w:val="bg-BG"/>
        </w:rPr>
        <w:t>Настоящата методика представлява съвкупност от правила, които имат за цел да</w:t>
      </w:r>
      <w:r w:rsidRPr="00CD4256">
        <w:rPr>
          <w:spacing w:val="41"/>
          <w:lang w:val="bg-BG"/>
        </w:rPr>
        <w:t xml:space="preserve"> </w:t>
      </w:r>
      <w:r w:rsidRPr="00CD4256">
        <w:rPr>
          <w:lang w:val="bg-BG"/>
        </w:rPr>
        <w:t>се определи начинът, по който ще се извърши класиране на офертите и ще се</w:t>
      </w:r>
      <w:r w:rsidRPr="00CD4256">
        <w:rPr>
          <w:spacing w:val="-12"/>
          <w:lang w:val="bg-BG"/>
        </w:rPr>
        <w:t xml:space="preserve"> </w:t>
      </w:r>
      <w:r w:rsidRPr="00CD4256">
        <w:rPr>
          <w:lang w:val="bg-BG"/>
        </w:rPr>
        <w:t>определи изпълнителят на услугите обект на публичната покана. Класирането на офертите</w:t>
      </w:r>
      <w:r w:rsidRPr="00CD4256">
        <w:rPr>
          <w:spacing w:val="50"/>
          <w:lang w:val="bg-BG"/>
        </w:rPr>
        <w:t xml:space="preserve"> </w:t>
      </w:r>
      <w:r w:rsidRPr="00CD4256">
        <w:rPr>
          <w:lang w:val="bg-BG"/>
        </w:rPr>
        <w:t>се извършва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по</w:t>
      </w:r>
      <w:r w:rsidRPr="00CD4256">
        <w:rPr>
          <w:spacing w:val="26"/>
          <w:lang w:val="bg-BG"/>
        </w:rPr>
        <w:t xml:space="preserve"> </w:t>
      </w:r>
      <w:r w:rsidRPr="00CD4256">
        <w:rPr>
          <w:lang w:val="bg-BG"/>
        </w:rPr>
        <w:t>комплексна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оценка,</w:t>
      </w:r>
      <w:r w:rsidRPr="00CD4256">
        <w:rPr>
          <w:spacing w:val="26"/>
          <w:lang w:val="bg-BG"/>
        </w:rPr>
        <w:t xml:space="preserve"> </w:t>
      </w:r>
      <w:r w:rsidRPr="00CD4256">
        <w:rPr>
          <w:lang w:val="bg-BG"/>
        </w:rPr>
        <w:t>изчислена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на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база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техническата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и</w:t>
      </w:r>
      <w:r w:rsidRPr="00CD4256">
        <w:rPr>
          <w:spacing w:val="27"/>
          <w:lang w:val="bg-BG"/>
        </w:rPr>
        <w:t xml:space="preserve"> </w:t>
      </w:r>
      <w:r w:rsidRPr="00CD4256">
        <w:rPr>
          <w:lang w:val="bg-BG"/>
        </w:rPr>
        <w:t>финансова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оценка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на офертите. Класирането на офертите се извършва по низходящ ред на</w:t>
      </w:r>
      <w:r w:rsidRPr="00CD4256">
        <w:rPr>
          <w:spacing w:val="12"/>
          <w:lang w:val="bg-BG"/>
        </w:rPr>
        <w:t xml:space="preserve"> </w:t>
      </w:r>
      <w:r w:rsidRPr="00CD4256">
        <w:rPr>
          <w:lang w:val="bg-BG"/>
        </w:rPr>
        <w:t>получената комплексна оценка, като на първо място се класира офертата с най-висока</w:t>
      </w:r>
      <w:r w:rsidRPr="00CD4256">
        <w:rPr>
          <w:spacing w:val="-18"/>
          <w:lang w:val="bg-BG"/>
        </w:rPr>
        <w:t xml:space="preserve"> </w:t>
      </w:r>
      <w:r w:rsidRPr="00CD4256">
        <w:rPr>
          <w:lang w:val="bg-BG"/>
        </w:rPr>
        <w:t>оценка.</w:t>
      </w:r>
    </w:p>
    <w:p w:rsidR="00564817" w:rsidRPr="00CD4256" w:rsidRDefault="006268D0">
      <w:pPr>
        <w:ind w:left="15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Критерият за оценка на офертите е 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„Оптимално съотношение качество -</w:t>
      </w:r>
      <w:r w:rsidRPr="00CD425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bg-BG"/>
        </w:rPr>
        <w:t xml:space="preserve"> 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цена”.</w:t>
      </w:r>
    </w:p>
    <w:p w:rsidR="00564817" w:rsidRPr="00CD4256" w:rsidRDefault="0056481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64817" w:rsidRPr="00CD4256" w:rsidRDefault="006268D0">
      <w:pPr>
        <w:pStyle w:val="Heading1"/>
        <w:ind w:right="2823"/>
        <w:rPr>
          <w:b w:val="0"/>
          <w:bCs w:val="0"/>
          <w:lang w:val="bg-BG"/>
        </w:rPr>
      </w:pPr>
      <w:r w:rsidRPr="00CD4256">
        <w:rPr>
          <w:lang w:val="bg-BG"/>
        </w:rPr>
        <w:t>Комплексната оценка е сбор от точките по показатели К1 и</w:t>
      </w:r>
      <w:r w:rsidRPr="00CD4256">
        <w:rPr>
          <w:spacing w:val="-19"/>
          <w:lang w:val="bg-BG"/>
        </w:rPr>
        <w:t xml:space="preserve"> </w:t>
      </w:r>
      <w:r w:rsidRPr="00CD4256">
        <w:rPr>
          <w:lang w:val="bg-BG"/>
        </w:rPr>
        <w:t xml:space="preserve">К2. </w:t>
      </w:r>
      <w:r w:rsidRPr="00CD4256">
        <w:rPr>
          <w:u w:val="thick" w:color="000000"/>
          <w:lang w:val="bg-BG"/>
        </w:rPr>
        <w:t>Комплексна оценка /КО/  = К1 +</w:t>
      </w:r>
      <w:r w:rsidRPr="00CD4256">
        <w:rPr>
          <w:spacing w:val="-12"/>
          <w:u w:val="thick" w:color="000000"/>
          <w:lang w:val="bg-BG"/>
        </w:rPr>
        <w:t xml:space="preserve"> </w:t>
      </w:r>
      <w:r w:rsidRPr="00CD4256">
        <w:rPr>
          <w:u w:val="thick" w:color="000000"/>
          <w:lang w:val="bg-BG"/>
        </w:rPr>
        <w:t>К2</w:t>
      </w:r>
    </w:p>
    <w:p w:rsidR="00564817" w:rsidRPr="00CD4256" w:rsidRDefault="006268D0">
      <w:pPr>
        <w:ind w:left="156" w:right="57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 xml:space="preserve">На първо място се класира участника, получил </w:t>
      </w:r>
      <w:r w:rsidRPr="00CD4256">
        <w:rPr>
          <w:rFonts w:ascii="Times New Roman" w:hAnsi="Times New Roman"/>
          <w:b/>
          <w:sz w:val="24"/>
          <w:lang w:val="bg-BG"/>
        </w:rPr>
        <w:t>най-висока Комплексна</w:t>
      </w:r>
      <w:r w:rsidRPr="00CD4256">
        <w:rPr>
          <w:rFonts w:ascii="Times New Roman" w:hAnsi="Times New Roman"/>
          <w:b/>
          <w:spacing w:val="42"/>
          <w:sz w:val="24"/>
          <w:lang w:val="bg-BG"/>
        </w:rPr>
        <w:t xml:space="preserve"> </w:t>
      </w:r>
      <w:r w:rsidRPr="00CD4256">
        <w:rPr>
          <w:rFonts w:ascii="Times New Roman" w:hAnsi="Times New Roman"/>
          <w:b/>
          <w:sz w:val="24"/>
          <w:lang w:val="bg-BG"/>
        </w:rPr>
        <w:t>оценка</w:t>
      </w:r>
      <w:r w:rsidRPr="00CD4256">
        <w:rPr>
          <w:rFonts w:ascii="Times New Roman" w:hAnsi="Times New Roman"/>
          <w:sz w:val="24"/>
          <w:lang w:val="bg-BG"/>
        </w:rPr>
        <w:t>. Максималният брой точки, който може да получи един участник е</w:t>
      </w:r>
      <w:r w:rsidRPr="00CD4256">
        <w:rPr>
          <w:rFonts w:ascii="Times New Roman" w:hAnsi="Times New Roman"/>
          <w:spacing w:val="-16"/>
          <w:sz w:val="24"/>
          <w:lang w:val="bg-BG"/>
        </w:rPr>
        <w:t xml:space="preserve"> </w:t>
      </w:r>
      <w:r w:rsidRPr="00CD4256">
        <w:rPr>
          <w:rFonts w:ascii="Times New Roman" w:hAnsi="Times New Roman"/>
          <w:b/>
          <w:sz w:val="24"/>
          <w:u w:val="thick" w:color="000000"/>
          <w:lang w:val="bg-BG"/>
        </w:rPr>
        <w:t>100.</w:t>
      </w:r>
    </w:p>
    <w:p w:rsidR="00564817" w:rsidRPr="00CD4256" w:rsidRDefault="0056481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bg-BG"/>
        </w:rPr>
      </w:pPr>
    </w:p>
    <w:p w:rsidR="00564817" w:rsidRPr="00CD4256" w:rsidRDefault="006268D0">
      <w:pPr>
        <w:spacing w:before="69"/>
        <w:ind w:left="156" w:right="282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b/>
          <w:sz w:val="24"/>
          <w:u w:val="thick" w:color="000000"/>
          <w:lang w:val="bg-BG"/>
        </w:rPr>
        <w:t>А. Предложена цена К1</w:t>
      </w:r>
      <w:r w:rsidRPr="00CD4256">
        <w:rPr>
          <w:rFonts w:ascii="Times New Roman" w:hAnsi="Times New Roman"/>
          <w:b/>
          <w:sz w:val="24"/>
          <w:lang w:val="bg-BG"/>
        </w:rPr>
        <w:t xml:space="preserve">: </w:t>
      </w:r>
      <w:r w:rsidRPr="00CD4256">
        <w:rPr>
          <w:rFonts w:ascii="Times New Roman" w:hAnsi="Times New Roman"/>
          <w:sz w:val="24"/>
          <w:lang w:val="bg-BG"/>
        </w:rPr>
        <w:t>тежестта на този показател е</w:t>
      </w:r>
      <w:r w:rsidRPr="00CD4256">
        <w:rPr>
          <w:rFonts w:ascii="Times New Roman" w:hAnsi="Times New Roman"/>
          <w:spacing w:val="-14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</w:rPr>
        <w:t>40</w:t>
      </w:r>
      <w:r w:rsidRPr="00CD4256">
        <w:rPr>
          <w:rFonts w:ascii="Times New Roman" w:hAnsi="Times New Roman"/>
          <w:b/>
          <w:sz w:val="24"/>
          <w:lang w:val="bg-BG"/>
        </w:rPr>
        <w:t>%.</w:t>
      </w:r>
    </w:p>
    <w:p w:rsidR="00564817" w:rsidRPr="00CD4256" w:rsidRDefault="0056481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bg-BG"/>
        </w:rPr>
      </w:pPr>
    </w:p>
    <w:p w:rsidR="00564817" w:rsidRPr="00CD4256" w:rsidRDefault="006268D0">
      <w:pPr>
        <w:pStyle w:val="BodyText"/>
        <w:spacing w:before="69"/>
        <w:jc w:val="both"/>
        <w:rPr>
          <w:lang w:val="bg-BG"/>
        </w:rPr>
      </w:pPr>
      <w:r w:rsidRPr="00CD4256">
        <w:rPr>
          <w:lang w:val="bg-BG"/>
        </w:rPr>
        <w:t>Оценката се получава по</w:t>
      </w:r>
      <w:r w:rsidRPr="00CD4256">
        <w:rPr>
          <w:spacing w:val="-13"/>
          <w:lang w:val="bg-BG"/>
        </w:rPr>
        <w:t xml:space="preserve"> </w:t>
      </w:r>
      <w:r w:rsidRPr="00CD4256">
        <w:rPr>
          <w:lang w:val="bg-BG"/>
        </w:rPr>
        <w:t>формулата:</w:t>
      </w:r>
    </w:p>
    <w:p w:rsidR="00564817" w:rsidRPr="00CD4256" w:rsidRDefault="006268D0">
      <w:pPr>
        <w:pStyle w:val="Heading1"/>
        <w:jc w:val="both"/>
        <w:rPr>
          <w:rFonts w:cs="Times New Roman"/>
          <w:b w:val="0"/>
          <w:bCs w:val="0"/>
          <w:lang w:val="bg-BG"/>
        </w:rPr>
      </w:pPr>
      <w:r w:rsidRPr="00CD4256">
        <w:rPr>
          <w:lang w:val="bg-BG"/>
        </w:rPr>
        <w:t>К1 = (минимална предложена цена) / (цена предложена от участника) x 100 т. х</w:t>
      </w:r>
      <w:r w:rsidRPr="00CD4256">
        <w:rPr>
          <w:spacing w:val="-14"/>
          <w:lang w:val="bg-BG"/>
        </w:rPr>
        <w:t xml:space="preserve"> </w:t>
      </w:r>
      <w:r>
        <w:t>4</w:t>
      </w:r>
      <w:r w:rsidRPr="00CD4256">
        <w:rPr>
          <w:lang w:val="bg-BG"/>
        </w:rPr>
        <w:t>0%</w:t>
      </w:r>
      <w:r w:rsidRPr="00CD4256">
        <w:rPr>
          <w:b w:val="0"/>
          <w:lang w:val="bg-BG"/>
        </w:rPr>
        <w:t>,</w:t>
      </w:r>
    </w:p>
    <w:p w:rsidR="00564817" w:rsidRPr="00CD4256" w:rsidRDefault="00564817">
      <w:pPr>
        <w:spacing w:before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BodyText"/>
        <w:ind w:right="576"/>
        <w:jc w:val="both"/>
        <w:rPr>
          <w:lang w:val="bg-BG"/>
        </w:rPr>
      </w:pPr>
      <w:r w:rsidRPr="00CD4256">
        <w:rPr>
          <w:lang w:val="bg-BG"/>
        </w:rPr>
        <w:t>Където „минималната предложена цена” е най</w:t>
      </w:r>
      <w:r w:rsidRPr="00CD4256">
        <w:rPr>
          <w:rFonts w:cs="Times New Roman"/>
          <w:lang w:val="bg-BG"/>
        </w:rPr>
        <w:t>-</w:t>
      </w:r>
      <w:r w:rsidRPr="00CD4256">
        <w:rPr>
          <w:lang w:val="bg-BG"/>
        </w:rPr>
        <w:t>ниската предложена цена от</w:t>
      </w:r>
      <w:r w:rsidRPr="00CD4256">
        <w:rPr>
          <w:spacing w:val="33"/>
          <w:lang w:val="bg-BG"/>
        </w:rPr>
        <w:t xml:space="preserve"> </w:t>
      </w:r>
      <w:r w:rsidRPr="00CD4256">
        <w:rPr>
          <w:lang w:val="bg-BG"/>
        </w:rPr>
        <w:t>участник, допуснат до класиране, а „цена предложена от участника” е цената, предложена</w:t>
      </w:r>
      <w:r w:rsidRPr="00CD4256">
        <w:rPr>
          <w:spacing w:val="26"/>
          <w:lang w:val="bg-BG"/>
        </w:rPr>
        <w:t xml:space="preserve"> </w:t>
      </w:r>
      <w:r w:rsidRPr="00CD4256">
        <w:rPr>
          <w:lang w:val="bg-BG"/>
        </w:rPr>
        <w:t>от конкретен участник за изпълнение на</w:t>
      </w:r>
      <w:r w:rsidRPr="00CD4256">
        <w:rPr>
          <w:spacing w:val="-19"/>
          <w:lang w:val="bg-BG"/>
        </w:rPr>
        <w:t xml:space="preserve"> </w:t>
      </w:r>
      <w:r w:rsidRPr="00CD4256">
        <w:rPr>
          <w:lang w:val="bg-BG"/>
        </w:rPr>
        <w:t>услугата.</w:t>
      </w:r>
    </w:p>
    <w:p w:rsidR="00564817" w:rsidRPr="00CD4256" w:rsidRDefault="006268D0">
      <w:pPr>
        <w:pStyle w:val="BodyText"/>
        <w:jc w:val="both"/>
        <w:rPr>
          <w:lang w:val="bg-BG"/>
        </w:rPr>
      </w:pPr>
      <w:r w:rsidRPr="00CD4256">
        <w:rPr>
          <w:lang w:val="bg-BG"/>
        </w:rPr>
        <w:t>Максималният възможен брой точки по показател К1 – 100</w:t>
      </w:r>
      <w:r w:rsidRPr="00CD4256">
        <w:rPr>
          <w:spacing w:val="-12"/>
          <w:lang w:val="bg-BG"/>
        </w:rPr>
        <w:t xml:space="preserve"> </w:t>
      </w:r>
      <w:r w:rsidRPr="00CD4256">
        <w:rPr>
          <w:lang w:val="bg-BG"/>
        </w:rPr>
        <w:t>т.</w:t>
      </w:r>
    </w:p>
    <w:p w:rsidR="00564817" w:rsidRPr="00CD4256" w:rsidRDefault="00564817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ind w:left="15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b/>
          <w:sz w:val="24"/>
          <w:u w:val="thick" w:color="000000"/>
          <w:lang w:val="bg-BG"/>
        </w:rPr>
        <w:t>Б. Техническо предложение К2</w:t>
      </w:r>
      <w:r w:rsidRPr="00CD4256">
        <w:rPr>
          <w:rFonts w:ascii="Times New Roman" w:hAnsi="Times New Roman"/>
          <w:b/>
          <w:sz w:val="24"/>
          <w:lang w:val="bg-BG"/>
        </w:rPr>
        <w:t xml:space="preserve">: </w:t>
      </w:r>
      <w:r w:rsidRPr="00CD4256">
        <w:rPr>
          <w:rFonts w:ascii="Times New Roman" w:hAnsi="Times New Roman"/>
          <w:sz w:val="24"/>
          <w:lang w:val="bg-BG"/>
        </w:rPr>
        <w:t>тежестта на този показател е</w:t>
      </w:r>
      <w:r w:rsidRPr="00CD4256">
        <w:rPr>
          <w:rFonts w:ascii="Times New Roman" w:hAnsi="Times New Roman"/>
          <w:spacing w:val="-13"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</w:rPr>
        <w:t>6</w:t>
      </w:r>
      <w:r w:rsidRPr="00CD4256">
        <w:rPr>
          <w:rFonts w:ascii="Times New Roman" w:hAnsi="Times New Roman"/>
          <w:b/>
          <w:sz w:val="24"/>
          <w:lang w:val="bg-BG"/>
        </w:rPr>
        <w:t>0%.</w:t>
      </w:r>
    </w:p>
    <w:p w:rsidR="00564817" w:rsidRPr="00CD4256" w:rsidRDefault="00564817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bg-BG"/>
        </w:rPr>
      </w:pPr>
    </w:p>
    <w:p w:rsidR="00564817" w:rsidRPr="00CD4256" w:rsidRDefault="006268D0">
      <w:pPr>
        <w:pStyle w:val="Heading1"/>
        <w:spacing w:before="69"/>
        <w:ind w:right="2823"/>
        <w:rPr>
          <w:rFonts w:cs="Times New Roman"/>
          <w:b w:val="0"/>
          <w:bCs w:val="0"/>
          <w:lang w:val="bg-BG"/>
        </w:rPr>
      </w:pPr>
      <w:r w:rsidRPr="00CD4256">
        <w:rPr>
          <w:lang w:val="bg-BG"/>
        </w:rPr>
        <w:t>К2 = (Т</w:t>
      </w:r>
      <w:r w:rsidR="00621128">
        <w:t>1</w:t>
      </w:r>
      <w:r w:rsidRPr="00CD4256">
        <w:rPr>
          <w:lang w:val="bg-BG"/>
        </w:rPr>
        <w:t>+Т</w:t>
      </w:r>
      <w:r w:rsidR="00621128">
        <w:t>2</w:t>
      </w:r>
      <w:r w:rsidRPr="00CD4256">
        <w:rPr>
          <w:lang w:val="bg-BG"/>
        </w:rPr>
        <w:t>) х</w:t>
      </w:r>
      <w:r w:rsidRPr="00CD4256">
        <w:rPr>
          <w:spacing w:val="-2"/>
          <w:lang w:val="bg-BG"/>
        </w:rPr>
        <w:t xml:space="preserve"> </w:t>
      </w:r>
      <w:r>
        <w:t>6</w:t>
      </w:r>
      <w:r w:rsidRPr="00CD4256">
        <w:rPr>
          <w:lang w:val="bg-BG"/>
        </w:rPr>
        <w:t>0%,</w:t>
      </w:r>
    </w:p>
    <w:p w:rsidR="00564817" w:rsidRPr="00CD4256" w:rsidRDefault="005648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564817" w:rsidRPr="00CD4256" w:rsidRDefault="006268D0">
      <w:pPr>
        <w:pStyle w:val="BodyText"/>
        <w:ind w:right="576"/>
        <w:rPr>
          <w:lang w:val="bg-BG"/>
        </w:rPr>
      </w:pPr>
      <w:r w:rsidRPr="00CD4256">
        <w:rPr>
          <w:lang w:val="bg-BG"/>
        </w:rPr>
        <w:t>Максималният</w:t>
      </w:r>
      <w:r w:rsidRPr="00CD4256">
        <w:rPr>
          <w:spacing w:val="27"/>
          <w:lang w:val="bg-BG"/>
        </w:rPr>
        <w:t xml:space="preserve"> </w:t>
      </w:r>
      <w:r w:rsidRPr="00CD4256">
        <w:rPr>
          <w:lang w:val="bg-BG"/>
        </w:rPr>
        <w:t>възможен</w:t>
      </w:r>
      <w:r w:rsidRPr="00CD4256">
        <w:rPr>
          <w:spacing w:val="27"/>
          <w:lang w:val="bg-BG"/>
        </w:rPr>
        <w:t xml:space="preserve"> </w:t>
      </w:r>
      <w:r w:rsidRPr="00CD4256">
        <w:rPr>
          <w:lang w:val="bg-BG"/>
        </w:rPr>
        <w:t>брой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точки</w:t>
      </w:r>
      <w:r w:rsidRPr="00CD4256">
        <w:rPr>
          <w:spacing w:val="25"/>
          <w:lang w:val="bg-BG"/>
        </w:rPr>
        <w:t xml:space="preserve"> </w:t>
      </w:r>
      <w:r w:rsidRPr="00CD4256">
        <w:rPr>
          <w:lang w:val="bg-BG"/>
        </w:rPr>
        <w:t>по</w:t>
      </w:r>
      <w:r w:rsidRPr="00CD4256">
        <w:rPr>
          <w:spacing w:val="24"/>
          <w:lang w:val="bg-BG"/>
        </w:rPr>
        <w:t xml:space="preserve"> </w:t>
      </w:r>
      <w:r w:rsidRPr="00CD4256">
        <w:rPr>
          <w:lang w:val="bg-BG"/>
        </w:rPr>
        <w:t>показател</w:t>
      </w:r>
      <w:r w:rsidRPr="00CD4256">
        <w:rPr>
          <w:spacing w:val="26"/>
          <w:lang w:val="bg-BG"/>
        </w:rPr>
        <w:t xml:space="preserve"> </w:t>
      </w:r>
      <w:r w:rsidR="00EE5651">
        <w:rPr>
          <w:lang w:val="bg-BG"/>
        </w:rPr>
        <w:t>К2</w:t>
      </w:r>
      <w:r w:rsidRPr="00CD4256">
        <w:rPr>
          <w:spacing w:val="32"/>
          <w:lang w:val="bg-BG"/>
        </w:rPr>
        <w:t xml:space="preserve"> </w:t>
      </w:r>
      <w:r w:rsidRPr="00CD4256">
        <w:rPr>
          <w:lang w:val="bg-BG"/>
        </w:rPr>
        <w:t>–</w:t>
      </w:r>
      <w:r w:rsidRPr="00CD4256">
        <w:rPr>
          <w:spacing w:val="26"/>
          <w:lang w:val="bg-BG"/>
        </w:rPr>
        <w:t xml:space="preserve"> </w:t>
      </w:r>
      <w:r w:rsidRPr="00CD4256">
        <w:rPr>
          <w:lang w:val="bg-BG"/>
        </w:rPr>
        <w:t>100</w:t>
      </w:r>
      <w:r w:rsidRPr="00CD4256">
        <w:rPr>
          <w:spacing w:val="24"/>
          <w:lang w:val="bg-BG"/>
        </w:rPr>
        <w:t xml:space="preserve"> </w:t>
      </w:r>
      <w:r w:rsidRPr="00CD4256">
        <w:rPr>
          <w:lang w:val="bg-BG"/>
        </w:rPr>
        <w:t>т.,</w:t>
      </w:r>
      <w:r w:rsidRPr="00CD4256">
        <w:rPr>
          <w:spacing w:val="26"/>
          <w:lang w:val="bg-BG"/>
        </w:rPr>
        <w:t xml:space="preserve"> </w:t>
      </w:r>
      <w:r w:rsidRPr="00CD4256">
        <w:rPr>
          <w:lang w:val="bg-BG"/>
        </w:rPr>
        <w:t>разпределени</w:t>
      </w:r>
      <w:r w:rsidRPr="00CD4256">
        <w:rPr>
          <w:spacing w:val="27"/>
          <w:lang w:val="bg-BG"/>
        </w:rPr>
        <w:t xml:space="preserve"> </w:t>
      </w:r>
      <w:r w:rsidRPr="00CD4256">
        <w:rPr>
          <w:lang w:val="bg-BG"/>
        </w:rPr>
        <w:t>между</w:t>
      </w:r>
      <w:r w:rsidRPr="00CD4256">
        <w:rPr>
          <w:spacing w:val="21"/>
          <w:lang w:val="bg-BG"/>
        </w:rPr>
        <w:t xml:space="preserve"> </w:t>
      </w:r>
      <w:r w:rsidRPr="00CD4256">
        <w:rPr>
          <w:lang w:val="bg-BG"/>
        </w:rPr>
        <w:t>под</w:t>
      </w:r>
      <w:r w:rsidRPr="00CD4256">
        <w:rPr>
          <w:rFonts w:cs="Times New Roman"/>
          <w:lang w:val="bg-BG"/>
        </w:rPr>
        <w:t xml:space="preserve">- </w:t>
      </w:r>
      <w:r w:rsidRPr="00CD4256">
        <w:rPr>
          <w:lang w:val="bg-BG"/>
        </w:rPr>
        <w:t>показателите както следва: Т</w:t>
      </w:r>
      <w:r w:rsidR="00621128">
        <w:t>1</w:t>
      </w:r>
      <w:r w:rsidRPr="00CD4256">
        <w:rPr>
          <w:lang w:val="bg-BG"/>
        </w:rPr>
        <w:t xml:space="preserve"> – </w:t>
      </w:r>
      <w:r w:rsidR="00DF1D09">
        <w:t>4</w:t>
      </w:r>
      <w:r w:rsidRPr="00CD4256">
        <w:rPr>
          <w:lang w:val="bg-BG"/>
        </w:rPr>
        <w:t>0 т., Т</w:t>
      </w:r>
      <w:r w:rsidR="00621128">
        <w:t>2</w:t>
      </w:r>
      <w:r w:rsidRPr="00CD4256">
        <w:rPr>
          <w:lang w:val="bg-BG"/>
        </w:rPr>
        <w:t xml:space="preserve"> – </w:t>
      </w:r>
      <w:r w:rsidR="00DF1D09">
        <w:t>6</w:t>
      </w:r>
      <w:r w:rsidRPr="00CD4256">
        <w:rPr>
          <w:lang w:val="bg-BG"/>
        </w:rPr>
        <w:t>0</w:t>
      </w:r>
      <w:r w:rsidRPr="00CD4256">
        <w:rPr>
          <w:spacing w:val="-8"/>
          <w:lang w:val="bg-BG"/>
        </w:rPr>
        <w:t xml:space="preserve"> </w:t>
      </w:r>
      <w:r w:rsidRPr="00CD4256">
        <w:rPr>
          <w:lang w:val="bg-BG"/>
        </w:rPr>
        <w:t>т.</w:t>
      </w:r>
    </w:p>
    <w:p w:rsidR="00564817" w:rsidRPr="00CD4256" w:rsidRDefault="005648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Heading1"/>
        <w:ind w:right="2823"/>
        <w:rPr>
          <w:b w:val="0"/>
          <w:bCs w:val="0"/>
          <w:lang w:val="bg-BG"/>
        </w:rPr>
      </w:pPr>
      <w:r w:rsidRPr="00CD4256">
        <w:rPr>
          <w:lang w:val="bg-BG"/>
        </w:rPr>
        <w:t>Където:</w:t>
      </w:r>
    </w:p>
    <w:p w:rsidR="00564817" w:rsidRPr="00CD4256" w:rsidRDefault="00564817">
      <w:pPr>
        <w:rPr>
          <w:lang w:val="bg-BG"/>
        </w:rPr>
        <w:sectPr w:rsidR="00564817" w:rsidRPr="00CD4256">
          <w:headerReference w:type="default" r:id="rId7"/>
          <w:footerReference w:type="default" r:id="rId8"/>
          <w:type w:val="continuous"/>
          <w:pgSz w:w="12240" w:h="15840"/>
          <w:pgMar w:top="2660" w:right="840" w:bottom="1860" w:left="1260" w:header="708" w:footer="1678" w:gutter="0"/>
          <w:pgNumType w:start="1"/>
          <w:cols w:space="708"/>
        </w:sectPr>
      </w:pPr>
    </w:p>
    <w:p w:rsidR="00564817" w:rsidRPr="00CD4256" w:rsidRDefault="00564817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bg-BG"/>
        </w:rPr>
      </w:pPr>
    </w:p>
    <w:p w:rsidR="001D369F" w:rsidRPr="001D369F" w:rsidRDefault="001D369F" w:rsidP="001D369F">
      <w:pPr>
        <w:spacing w:before="69"/>
        <w:ind w:right="5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817" w:rsidRPr="00CD4256" w:rsidRDefault="006268D0">
      <w:pPr>
        <w:pStyle w:val="Heading1"/>
        <w:jc w:val="both"/>
        <w:rPr>
          <w:b w:val="0"/>
          <w:bCs w:val="0"/>
          <w:lang w:val="bg-BG"/>
        </w:rPr>
      </w:pPr>
      <w:r w:rsidRPr="00CD4256">
        <w:rPr>
          <w:lang w:val="bg-BG"/>
        </w:rPr>
        <w:t>Т</w:t>
      </w:r>
      <w:r w:rsidR="00621128">
        <w:t>1</w:t>
      </w:r>
      <w:r w:rsidRPr="00CD4256">
        <w:rPr>
          <w:lang w:val="bg-BG"/>
        </w:rPr>
        <w:t xml:space="preserve"> – Срок за гаранционна поддръжка – максимален брой точки </w:t>
      </w:r>
      <w:r w:rsidRPr="00CD4256">
        <w:rPr>
          <w:rFonts w:cs="Times New Roman"/>
          <w:lang w:val="bg-BG"/>
        </w:rPr>
        <w:t xml:space="preserve">- </w:t>
      </w:r>
      <w:r w:rsidR="00DF1D09">
        <w:rPr>
          <w:rFonts w:cs="Times New Roman"/>
        </w:rPr>
        <w:t>4</w:t>
      </w:r>
      <w:r w:rsidRPr="00CD4256">
        <w:rPr>
          <w:lang w:val="bg-BG"/>
        </w:rPr>
        <w:t>0</w:t>
      </w:r>
      <w:r w:rsidRPr="00CD4256">
        <w:rPr>
          <w:spacing w:val="-17"/>
          <w:lang w:val="bg-BG"/>
        </w:rPr>
        <w:t xml:space="preserve"> </w:t>
      </w:r>
      <w:r w:rsidRPr="00CD4256">
        <w:rPr>
          <w:lang w:val="bg-BG"/>
        </w:rPr>
        <w:t>т.</w:t>
      </w:r>
    </w:p>
    <w:p w:rsidR="00564817" w:rsidRPr="00CD4256" w:rsidRDefault="005648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564817" w:rsidRPr="00CD4256" w:rsidRDefault="006268D0">
      <w:pPr>
        <w:pStyle w:val="BodyText"/>
        <w:jc w:val="both"/>
        <w:rPr>
          <w:rFonts w:cs="Times New Roman"/>
          <w:lang w:val="bg-BG"/>
        </w:rPr>
      </w:pPr>
      <w:r w:rsidRPr="00CD4256">
        <w:rPr>
          <w:lang w:val="bg-BG"/>
        </w:rPr>
        <w:t>Задължително е кандидатът да посочи предложения срок в цели календарни</w:t>
      </w:r>
      <w:r w:rsidRPr="00CD4256">
        <w:rPr>
          <w:spacing w:val="-21"/>
          <w:lang w:val="bg-BG"/>
        </w:rPr>
        <w:t xml:space="preserve"> </w:t>
      </w:r>
      <w:r w:rsidRPr="00CD4256">
        <w:rPr>
          <w:lang w:val="bg-BG"/>
        </w:rPr>
        <w:t>месеци.</w:t>
      </w:r>
    </w:p>
    <w:p w:rsidR="00564817" w:rsidRPr="00CD4256" w:rsidRDefault="005648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Heading1"/>
        <w:spacing w:line="480" w:lineRule="auto"/>
        <w:ind w:right="2960"/>
        <w:rPr>
          <w:b w:val="0"/>
          <w:bCs w:val="0"/>
          <w:lang w:val="bg-BG"/>
        </w:rPr>
      </w:pPr>
      <w:r w:rsidRPr="00CD4256">
        <w:rPr>
          <w:lang w:val="bg-BG"/>
        </w:rPr>
        <w:t>Оценката по показател Т</w:t>
      </w:r>
      <w:r w:rsidR="00621128">
        <w:t>1</w:t>
      </w:r>
      <w:r w:rsidRPr="00CD4256">
        <w:rPr>
          <w:lang w:val="bg-BG"/>
        </w:rPr>
        <w:t xml:space="preserve"> се изчислява по следната</w:t>
      </w:r>
      <w:r w:rsidRPr="00CD4256">
        <w:rPr>
          <w:spacing w:val="-16"/>
          <w:lang w:val="bg-BG"/>
        </w:rPr>
        <w:t xml:space="preserve"> </w:t>
      </w:r>
      <w:r w:rsidRPr="00CD4256">
        <w:rPr>
          <w:lang w:val="bg-BG"/>
        </w:rPr>
        <w:t>формула: Т</w:t>
      </w:r>
      <w:r w:rsidR="00621128">
        <w:t>1</w:t>
      </w:r>
      <w:r w:rsidRPr="00CD4256">
        <w:rPr>
          <w:lang w:val="bg-BG"/>
        </w:rPr>
        <w:t xml:space="preserve"> = T</w:t>
      </w:r>
      <w:r w:rsidR="00621128">
        <w:t>1</w:t>
      </w:r>
      <w:r w:rsidRPr="00CD4256">
        <w:rPr>
          <w:lang w:val="bg-BG"/>
        </w:rPr>
        <w:t>n/T</w:t>
      </w:r>
      <w:r w:rsidR="00621128">
        <w:t>1</w:t>
      </w:r>
      <w:r w:rsidRPr="00CD4256">
        <w:rPr>
          <w:lang w:val="bg-BG"/>
        </w:rPr>
        <w:t xml:space="preserve">mах х </w:t>
      </w:r>
      <w:r w:rsidR="00DF1D09">
        <w:t>40</w:t>
      </w:r>
      <w:r w:rsidRPr="00CD4256">
        <w:rPr>
          <w:spacing w:val="-6"/>
          <w:lang w:val="bg-BG"/>
        </w:rPr>
        <w:t xml:space="preserve"> </w:t>
      </w:r>
      <w:r w:rsidRPr="00CD4256">
        <w:rPr>
          <w:lang w:val="bg-BG"/>
        </w:rPr>
        <w:t>т.,</w:t>
      </w:r>
    </w:p>
    <w:p w:rsidR="00564817" w:rsidRPr="00CD4256" w:rsidRDefault="006268D0">
      <w:pPr>
        <w:spacing w:before="10"/>
        <w:ind w:left="15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b/>
          <w:sz w:val="24"/>
          <w:lang w:val="bg-BG"/>
        </w:rPr>
        <w:t>Където,</w:t>
      </w:r>
    </w:p>
    <w:p w:rsidR="00564817" w:rsidRPr="00CD4256" w:rsidRDefault="005648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564817" w:rsidRPr="00CD4256" w:rsidRDefault="006268D0">
      <w:pPr>
        <w:pStyle w:val="BodyText"/>
        <w:ind w:right="576"/>
        <w:jc w:val="both"/>
        <w:rPr>
          <w:rFonts w:cs="Times New Roman"/>
          <w:lang w:val="bg-BG"/>
        </w:rPr>
      </w:pPr>
      <w:r w:rsidRPr="00CD4256">
        <w:rPr>
          <w:b/>
          <w:lang w:val="bg-BG"/>
        </w:rPr>
        <w:t>Т</w:t>
      </w:r>
      <w:r w:rsidR="00621128">
        <w:rPr>
          <w:b/>
        </w:rPr>
        <w:t>1</w:t>
      </w:r>
      <w:r w:rsidRPr="00CD4256">
        <w:rPr>
          <w:b/>
          <w:lang w:val="bg-BG"/>
        </w:rPr>
        <w:t xml:space="preserve">n - </w:t>
      </w:r>
      <w:r w:rsidRPr="00CD4256">
        <w:rPr>
          <w:lang w:val="bg-BG"/>
        </w:rPr>
        <w:t>Предложен от кандидата срок в месеци за гаранционна;</w:t>
      </w:r>
    </w:p>
    <w:p w:rsidR="00564817" w:rsidRDefault="006268D0">
      <w:pPr>
        <w:pStyle w:val="BodyText"/>
        <w:jc w:val="both"/>
        <w:rPr>
          <w:lang w:val="bg-BG"/>
        </w:rPr>
      </w:pPr>
      <w:r w:rsidRPr="00CD4256">
        <w:rPr>
          <w:b/>
          <w:lang w:val="bg-BG"/>
        </w:rPr>
        <w:t>T</w:t>
      </w:r>
      <w:r w:rsidR="00621128">
        <w:rPr>
          <w:b/>
        </w:rPr>
        <w:t>1</w:t>
      </w:r>
      <w:r w:rsidRPr="00CD4256">
        <w:rPr>
          <w:b/>
          <w:lang w:val="bg-BG"/>
        </w:rPr>
        <w:t xml:space="preserve">mах - </w:t>
      </w:r>
      <w:r w:rsidRPr="00CD4256">
        <w:rPr>
          <w:lang w:val="bg-BG"/>
        </w:rPr>
        <w:t>Най-дълъг предложен срок за гаранционна</w:t>
      </w:r>
      <w:r w:rsidRPr="00CD4256">
        <w:rPr>
          <w:spacing w:val="-10"/>
          <w:lang w:val="bg-BG"/>
        </w:rPr>
        <w:t xml:space="preserve"> </w:t>
      </w:r>
      <w:r w:rsidRPr="00CD4256">
        <w:rPr>
          <w:lang w:val="bg-BG"/>
        </w:rPr>
        <w:t>поддръжка.</w:t>
      </w:r>
    </w:p>
    <w:p w:rsidR="00F0208C" w:rsidRDefault="00F0208C" w:rsidP="00A62909">
      <w:pPr>
        <w:pStyle w:val="BodyText"/>
        <w:ind w:left="0"/>
        <w:jc w:val="both"/>
        <w:rPr>
          <w:lang w:val="bg-BG"/>
        </w:rPr>
      </w:pPr>
    </w:p>
    <w:p w:rsidR="00564817" w:rsidRPr="00CD4256" w:rsidRDefault="006268D0">
      <w:pPr>
        <w:spacing w:before="69"/>
        <w:ind w:left="156" w:right="57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</w:t>
      </w:r>
      <w:r w:rsidR="006211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F0208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Времето, необходимо за изпълнение извършване на доставката и монтажът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="00DF1D0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Pr="00CD425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/>
        </w:rPr>
        <w:t xml:space="preserve"> </w:t>
      </w:r>
      <w:r w:rsidRPr="00CD425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т.</w:t>
      </w:r>
    </w:p>
    <w:p w:rsidR="00564817" w:rsidRPr="00CD4256" w:rsidRDefault="005648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F0208C" w:rsidRDefault="006268D0">
      <w:pPr>
        <w:pStyle w:val="BodyText"/>
        <w:ind w:right="573"/>
        <w:jc w:val="both"/>
        <w:rPr>
          <w:lang w:val="bg-BG"/>
        </w:rPr>
      </w:pPr>
      <w:r w:rsidRPr="00CD4256">
        <w:rPr>
          <w:lang w:val="bg-BG"/>
        </w:rPr>
        <w:t xml:space="preserve">По този показател ще се оценява броят предложени от участника </w:t>
      </w:r>
      <w:r w:rsidR="00F0208C">
        <w:rPr>
          <w:lang w:val="bg-BG"/>
        </w:rPr>
        <w:t>месеци</w:t>
      </w:r>
      <w:r w:rsidRPr="00CD4256">
        <w:rPr>
          <w:spacing w:val="36"/>
          <w:lang w:val="bg-BG"/>
        </w:rPr>
        <w:t xml:space="preserve"> </w:t>
      </w:r>
      <w:r w:rsidRPr="00CD4256">
        <w:rPr>
          <w:lang w:val="bg-BG"/>
        </w:rPr>
        <w:t xml:space="preserve">за извършване на </w:t>
      </w:r>
      <w:r w:rsidR="00F0208C">
        <w:rPr>
          <w:lang w:val="bg-BG"/>
        </w:rPr>
        <w:t>доставката и монтажът.</w:t>
      </w:r>
    </w:p>
    <w:p w:rsidR="00564817" w:rsidRDefault="00564817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208C" w:rsidRPr="00F0208C" w:rsidRDefault="00F0208C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F0208C">
        <w:rPr>
          <w:rFonts w:ascii="Times New Roman" w:eastAsia="Times New Roman" w:hAnsi="Times New Roman"/>
          <w:sz w:val="24"/>
          <w:szCs w:val="24"/>
          <w:lang w:val="bg-BG"/>
        </w:rPr>
        <w:t>Задължително е кандидатът да посочи предложения срок в цели календарни месеци</w:t>
      </w:r>
      <w:r>
        <w:rPr>
          <w:rFonts w:ascii="Times New Roman" w:eastAsia="Times New Roman" w:hAnsi="Times New Roman"/>
          <w:sz w:val="24"/>
          <w:szCs w:val="24"/>
          <w:lang w:val="bg-BG"/>
        </w:rPr>
        <w:t>, като те не могат да бъдат повече от 10 месеца</w:t>
      </w:r>
      <w:r w:rsidRPr="00F0208C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F0208C" w:rsidRPr="00CD4256" w:rsidRDefault="00F0208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E5651" w:rsidRDefault="006268D0">
      <w:pPr>
        <w:pStyle w:val="Heading1"/>
        <w:spacing w:line="480" w:lineRule="auto"/>
        <w:ind w:right="2823"/>
        <w:rPr>
          <w:lang w:val="bg-BG"/>
        </w:rPr>
      </w:pPr>
      <w:r w:rsidRPr="00CD4256">
        <w:rPr>
          <w:lang w:val="bg-BG"/>
        </w:rPr>
        <w:t>Оценката по показател Т</w:t>
      </w:r>
      <w:r w:rsidR="00621128">
        <w:t>2</w:t>
      </w:r>
      <w:r w:rsidRPr="00CD4256">
        <w:rPr>
          <w:lang w:val="bg-BG"/>
        </w:rPr>
        <w:t xml:space="preserve"> се изчислява по следната</w:t>
      </w:r>
      <w:r w:rsidRPr="00CD4256">
        <w:rPr>
          <w:spacing w:val="-12"/>
          <w:lang w:val="bg-BG"/>
        </w:rPr>
        <w:t xml:space="preserve"> </w:t>
      </w:r>
      <w:r w:rsidRPr="00CD4256">
        <w:rPr>
          <w:lang w:val="bg-BG"/>
        </w:rPr>
        <w:t xml:space="preserve">формула: </w:t>
      </w:r>
    </w:p>
    <w:p w:rsidR="00564817" w:rsidRPr="00CD4256" w:rsidRDefault="00EE5651">
      <w:pPr>
        <w:pStyle w:val="Heading1"/>
        <w:spacing w:line="480" w:lineRule="auto"/>
        <w:ind w:right="2823"/>
        <w:rPr>
          <w:b w:val="0"/>
          <w:bCs w:val="0"/>
          <w:lang w:val="bg-BG"/>
        </w:rPr>
      </w:pPr>
      <w:r>
        <w:rPr>
          <w:lang w:val="bg-BG"/>
        </w:rPr>
        <w:t>Т</w:t>
      </w:r>
      <w:r w:rsidR="00621128">
        <w:t>2</w:t>
      </w:r>
      <w:r>
        <w:rPr>
          <w:lang w:val="bg-BG"/>
        </w:rPr>
        <w:t xml:space="preserve"> </w:t>
      </w:r>
      <w:r w:rsidR="006268D0" w:rsidRPr="00CD4256">
        <w:rPr>
          <w:lang w:val="bg-BG"/>
        </w:rPr>
        <w:t xml:space="preserve"> = </w:t>
      </w:r>
      <w:r w:rsidRPr="00CD4256">
        <w:rPr>
          <w:lang w:val="bg-BG"/>
        </w:rPr>
        <w:t>T</w:t>
      </w:r>
      <w:r w:rsidR="00621128">
        <w:t>2</w:t>
      </w:r>
      <w:r w:rsidRPr="00CD4256">
        <w:rPr>
          <w:lang w:val="bg-BG"/>
        </w:rPr>
        <w:t>m</w:t>
      </w:r>
      <w:r w:rsidR="00621128">
        <w:t>in</w:t>
      </w:r>
      <w:r>
        <w:rPr>
          <w:lang w:val="bg-BG"/>
        </w:rPr>
        <w:t>/T</w:t>
      </w:r>
      <w:r w:rsidR="00621128">
        <w:t>2</w:t>
      </w:r>
      <w:r>
        <w:rPr>
          <w:lang w:val="bg-BG"/>
        </w:rPr>
        <w:t>n</w:t>
      </w:r>
      <w:r w:rsidR="006268D0" w:rsidRPr="00CD4256">
        <w:rPr>
          <w:lang w:val="bg-BG"/>
        </w:rPr>
        <w:t xml:space="preserve"> х </w:t>
      </w:r>
      <w:r w:rsidR="00DF1D09">
        <w:t>6</w:t>
      </w:r>
      <w:r w:rsidR="00621128">
        <w:rPr>
          <w:lang w:val="bg-BG"/>
        </w:rPr>
        <w:t>0 т</w:t>
      </w:r>
      <w:r>
        <w:rPr>
          <w:lang w:val="bg-BG"/>
        </w:rPr>
        <w:t>.</w:t>
      </w:r>
    </w:p>
    <w:p w:rsidR="00564817" w:rsidRPr="00CD4256" w:rsidRDefault="006268D0">
      <w:pPr>
        <w:pStyle w:val="BodyText"/>
        <w:spacing w:before="5"/>
        <w:jc w:val="both"/>
        <w:rPr>
          <w:lang w:val="bg-BG"/>
        </w:rPr>
      </w:pPr>
      <w:r w:rsidRPr="00CD4256">
        <w:rPr>
          <w:lang w:val="bg-BG"/>
        </w:rPr>
        <w:t>Kъдето:</w:t>
      </w:r>
    </w:p>
    <w:p w:rsidR="00564817" w:rsidRPr="00CD4256" w:rsidRDefault="00564817">
      <w:pPr>
        <w:spacing w:before="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BodyText"/>
        <w:ind w:right="580"/>
        <w:jc w:val="both"/>
        <w:rPr>
          <w:lang w:val="bg-BG"/>
        </w:rPr>
      </w:pPr>
      <w:r w:rsidRPr="00CD4256">
        <w:rPr>
          <w:b/>
          <w:lang w:val="bg-BG"/>
        </w:rPr>
        <w:t>T</w:t>
      </w:r>
      <w:r w:rsidR="00621128">
        <w:rPr>
          <w:b/>
          <w:lang w:val="bg-BG"/>
        </w:rPr>
        <w:t>2</w:t>
      </w:r>
      <w:r w:rsidRPr="00CD4256">
        <w:rPr>
          <w:b/>
          <w:lang w:val="bg-BG"/>
        </w:rPr>
        <w:t xml:space="preserve">n </w:t>
      </w:r>
      <w:r w:rsidRPr="00CD4256">
        <w:rPr>
          <w:lang w:val="bg-BG"/>
        </w:rPr>
        <w:t xml:space="preserve">- предложените от n-тия участник </w:t>
      </w:r>
      <w:r w:rsidR="00F0208C">
        <w:rPr>
          <w:lang w:val="bg-BG"/>
        </w:rPr>
        <w:t>месеци за извършване на доставка и монтаж</w:t>
      </w:r>
      <w:r w:rsidRPr="00CD4256">
        <w:rPr>
          <w:lang w:val="bg-BG"/>
        </w:rPr>
        <w:t>;</w:t>
      </w:r>
    </w:p>
    <w:p w:rsidR="00564817" w:rsidRPr="00CD4256" w:rsidRDefault="006268D0">
      <w:pPr>
        <w:pStyle w:val="BodyText"/>
        <w:ind w:right="580"/>
        <w:jc w:val="both"/>
        <w:rPr>
          <w:lang w:val="bg-BG"/>
        </w:rPr>
      </w:pPr>
      <w:r w:rsidRPr="00CD4256">
        <w:rPr>
          <w:b/>
          <w:lang w:val="bg-BG"/>
        </w:rPr>
        <w:t>T</w:t>
      </w:r>
      <w:r w:rsidR="00621128">
        <w:rPr>
          <w:b/>
          <w:lang w:val="bg-BG"/>
        </w:rPr>
        <w:t>2</w:t>
      </w:r>
      <w:r w:rsidRPr="00CD4256">
        <w:rPr>
          <w:b/>
          <w:lang w:val="bg-BG"/>
        </w:rPr>
        <w:t>m</w:t>
      </w:r>
      <w:r w:rsidR="00621128">
        <w:rPr>
          <w:b/>
        </w:rPr>
        <w:t>in</w:t>
      </w:r>
      <w:r w:rsidRPr="00CD4256">
        <w:rPr>
          <w:b/>
          <w:lang w:val="bg-BG"/>
        </w:rPr>
        <w:t xml:space="preserve"> </w:t>
      </w:r>
      <w:r w:rsidRPr="00CD4256">
        <w:rPr>
          <w:lang w:val="bg-BG"/>
        </w:rPr>
        <w:t>- най-</w:t>
      </w:r>
      <w:r w:rsidR="00621128">
        <w:rPr>
          <w:lang w:val="bg-BG"/>
        </w:rPr>
        <w:t>малкият</w:t>
      </w:r>
      <w:r w:rsidRPr="00CD4256">
        <w:rPr>
          <w:lang w:val="bg-BG"/>
        </w:rPr>
        <w:t xml:space="preserve"> брой предложени </w:t>
      </w:r>
      <w:r w:rsidR="00F0208C">
        <w:rPr>
          <w:lang w:val="bg-BG"/>
        </w:rPr>
        <w:t>месеци за извършване на доставка и монтаж</w:t>
      </w:r>
      <w:r w:rsidRPr="00CD4256">
        <w:rPr>
          <w:lang w:val="bg-BG"/>
        </w:rPr>
        <w:t>.</w:t>
      </w:r>
    </w:p>
    <w:p w:rsidR="00564817" w:rsidRPr="00CD4256" w:rsidRDefault="00564817">
      <w:pPr>
        <w:spacing w:before="5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Heading1"/>
        <w:jc w:val="both"/>
        <w:rPr>
          <w:b w:val="0"/>
          <w:bCs w:val="0"/>
          <w:lang w:val="bg-BG"/>
        </w:rPr>
      </w:pPr>
      <w:r w:rsidRPr="00CD4256">
        <w:rPr>
          <w:lang w:val="bg-BG"/>
        </w:rPr>
        <w:t>Допълнителни условия при</w:t>
      </w:r>
      <w:r w:rsidRPr="00CD4256">
        <w:rPr>
          <w:spacing w:val="-10"/>
          <w:lang w:val="bg-BG"/>
        </w:rPr>
        <w:t xml:space="preserve"> </w:t>
      </w:r>
      <w:r w:rsidRPr="00CD4256">
        <w:rPr>
          <w:lang w:val="bg-BG"/>
        </w:rPr>
        <w:t>оценката:</w:t>
      </w:r>
    </w:p>
    <w:p w:rsidR="00564817" w:rsidRPr="00CD4256" w:rsidRDefault="0056481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bg-BG"/>
        </w:rPr>
      </w:pPr>
    </w:p>
    <w:p w:rsidR="00564817" w:rsidRPr="00CD4256" w:rsidRDefault="006268D0">
      <w:pPr>
        <w:pStyle w:val="ListParagraph"/>
        <w:numPr>
          <w:ilvl w:val="1"/>
          <w:numId w:val="1"/>
        </w:numPr>
        <w:tabs>
          <w:tab w:val="left" w:pos="723"/>
        </w:tabs>
        <w:spacing w:line="276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До техническа оценка се допускат участниците, които са представили</w:t>
      </w:r>
      <w:r w:rsidRPr="00CD4256">
        <w:rPr>
          <w:rFonts w:ascii="Times New Roman" w:hAnsi="Times New Roman"/>
          <w:spacing w:val="49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оферти, отговарящи на предварително обявените условия за съответствие на</w:t>
      </w:r>
      <w:r w:rsidRPr="00CD4256">
        <w:rPr>
          <w:rFonts w:ascii="Times New Roman" w:hAnsi="Times New Roman"/>
          <w:spacing w:val="43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техническото задание.</w:t>
      </w:r>
    </w:p>
    <w:p w:rsidR="00564817" w:rsidRPr="00A62909" w:rsidRDefault="006268D0">
      <w:pPr>
        <w:pStyle w:val="ListParagraph"/>
        <w:numPr>
          <w:ilvl w:val="1"/>
          <w:numId w:val="1"/>
        </w:numPr>
        <w:tabs>
          <w:tab w:val="left" w:pos="723"/>
        </w:tabs>
        <w:spacing w:before="1" w:line="278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Оценката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на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техническите</w:t>
      </w:r>
      <w:r w:rsidRPr="00CD4256">
        <w:rPr>
          <w:rFonts w:ascii="Times New Roman" w:hAnsi="Times New Roman"/>
          <w:spacing w:val="33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предложения</w:t>
      </w:r>
      <w:r w:rsidRPr="00CD4256">
        <w:rPr>
          <w:rFonts w:ascii="Times New Roman" w:hAnsi="Times New Roman"/>
          <w:spacing w:val="34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се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извършва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от</w:t>
      </w:r>
      <w:r w:rsidRPr="00CD4256">
        <w:rPr>
          <w:rFonts w:ascii="Times New Roman" w:hAnsi="Times New Roman"/>
          <w:spacing w:val="34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членовете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на</w:t>
      </w:r>
      <w:r w:rsidRPr="00CD4256">
        <w:rPr>
          <w:rFonts w:ascii="Times New Roman" w:hAnsi="Times New Roman"/>
          <w:spacing w:val="3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комисията,</w:t>
      </w:r>
      <w:r w:rsidRPr="00CD4256">
        <w:rPr>
          <w:rFonts w:ascii="Times New Roman" w:hAnsi="Times New Roman"/>
          <w:spacing w:val="33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в съответствие с приетите показатели за оценка и тяхната</w:t>
      </w:r>
      <w:r w:rsidRPr="00CD4256">
        <w:rPr>
          <w:rFonts w:ascii="Times New Roman" w:hAnsi="Times New Roman"/>
          <w:spacing w:val="-8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тежест.</w:t>
      </w:r>
    </w:p>
    <w:p w:rsidR="00A62909" w:rsidRPr="00A62909" w:rsidRDefault="00A62909" w:rsidP="00A62909">
      <w:pPr>
        <w:tabs>
          <w:tab w:val="left" w:pos="723"/>
        </w:tabs>
        <w:spacing w:before="1" w:line="278" w:lineRule="auto"/>
        <w:ind w:left="362" w:right="5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ListParagraph"/>
        <w:numPr>
          <w:ilvl w:val="1"/>
          <w:numId w:val="1"/>
        </w:numPr>
        <w:tabs>
          <w:tab w:val="left" w:pos="723"/>
        </w:tabs>
        <w:spacing w:line="276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Към оценка на ценовите предложения се преминава след приключване</w:t>
      </w:r>
      <w:r w:rsidRPr="00CD4256">
        <w:rPr>
          <w:rFonts w:ascii="Times New Roman" w:hAnsi="Times New Roman"/>
          <w:spacing w:val="46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на техническата</w:t>
      </w:r>
      <w:r w:rsidRPr="00CD4256">
        <w:rPr>
          <w:rFonts w:ascii="Times New Roman" w:hAnsi="Times New Roman"/>
          <w:spacing w:val="-2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оценка.</w:t>
      </w:r>
    </w:p>
    <w:p w:rsidR="00564817" w:rsidRPr="00CD4256" w:rsidRDefault="006268D0">
      <w:pPr>
        <w:pStyle w:val="ListParagraph"/>
        <w:numPr>
          <w:ilvl w:val="1"/>
          <w:numId w:val="1"/>
        </w:numPr>
        <w:tabs>
          <w:tab w:val="left" w:pos="723"/>
        </w:tabs>
        <w:spacing w:before="1" w:line="276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Ценовите предложения се проверяват, за да се установи, че са подготвени</w:t>
      </w:r>
      <w:r w:rsidRPr="00CD4256">
        <w:rPr>
          <w:rFonts w:ascii="Times New Roman" w:hAnsi="Times New Roman"/>
          <w:spacing w:val="14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и представени в съответствие с изискванията на документацията за участие</w:t>
      </w:r>
      <w:r w:rsidRPr="00CD4256">
        <w:rPr>
          <w:rFonts w:ascii="Times New Roman" w:hAnsi="Times New Roman"/>
          <w:spacing w:val="43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в процедурата.</w:t>
      </w:r>
    </w:p>
    <w:p w:rsidR="00564817" w:rsidRPr="00CD4256" w:rsidRDefault="006268D0">
      <w:pPr>
        <w:pStyle w:val="ListParagraph"/>
        <w:numPr>
          <w:ilvl w:val="1"/>
          <w:numId w:val="1"/>
        </w:numPr>
        <w:tabs>
          <w:tab w:val="left" w:pos="723"/>
        </w:tabs>
        <w:spacing w:before="1" w:line="276" w:lineRule="auto"/>
        <w:ind w:right="58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Констатираните аритметични грешки се отстраняват при спазване на</w:t>
      </w:r>
      <w:r w:rsidRPr="00CD4256">
        <w:rPr>
          <w:rFonts w:ascii="Times New Roman" w:hAnsi="Times New Roman"/>
          <w:spacing w:val="5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следните правила:</w:t>
      </w:r>
    </w:p>
    <w:p w:rsidR="00564817" w:rsidRPr="00CD4256" w:rsidRDefault="006268D0">
      <w:pPr>
        <w:pStyle w:val="ListParagraph"/>
        <w:numPr>
          <w:ilvl w:val="2"/>
          <w:numId w:val="1"/>
        </w:numPr>
        <w:tabs>
          <w:tab w:val="left" w:pos="1290"/>
        </w:tabs>
        <w:spacing w:before="3" w:line="256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При различия между сумите, изразени с цифри и думи, за вярно се</w:t>
      </w:r>
      <w:r w:rsidRPr="00CD4256">
        <w:rPr>
          <w:rFonts w:ascii="Times New Roman" w:hAnsi="Times New Roman"/>
          <w:spacing w:val="1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приема словесното изражение на</w:t>
      </w:r>
      <w:r w:rsidRPr="00CD4256">
        <w:rPr>
          <w:rFonts w:ascii="Times New Roman" w:hAnsi="Times New Roman"/>
          <w:spacing w:val="-3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сумата.</w:t>
      </w:r>
    </w:p>
    <w:p w:rsidR="00564817" w:rsidRPr="00CD4256" w:rsidRDefault="006268D0">
      <w:pPr>
        <w:pStyle w:val="ListParagraph"/>
        <w:numPr>
          <w:ilvl w:val="2"/>
          <w:numId w:val="1"/>
        </w:numPr>
        <w:tabs>
          <w:tab w:val="left" w:pos="1290"/>
        </w:tabs>
        <w:spacing w:before="22" w:line="266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4256">
        <w:rPr>
          <w:rFonts w:ascii="Times New Roman" w:hAnsi="Times New Roman"/>
          <w:sz w:val="24"/>
          <w:lang w:val="bg-BG"/>
        </w:rPr>
        <w:t>Когато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общата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цена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не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съответства</w:t>
      </w:r>
      <w:r w:rsidRPr="00CD4256">
        <w:rPr>
          <w:rFonts w:ascii="Times New Roman" w:hAnsi="Times New Roman"/>
          <w:spacing w:val="39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на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произведението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от</w:t>
      </w:r>
      <w:r w:rsidRPr="00CD4256">
        <w:rPr>
          <w:rFonts w:ascii="Times New Roman" w:hAnsi="Times New Roman"/>
          <w:spacing w:val="41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единичната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цена</w:t>
      </w:r>
      <w:r w:rsidRPr="00CD4256">
        <w:rPr>
          <w:rFonts w:ascii="Times New Roman" w:hAnsi="Times New Roman"/>
          <w:spacing w:val="40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и количеството, за вярно се приема единичната цена и общата съответно</w:t>
      </w:r>
      <w:r w:rsidRPr="00CD4256">
        <w:rPr>
          <w:rFonts w:ascii="Times New Roman" w:hAnsi="Times New Roman"/>
          <w:spacing w:val="26"/>
          <w:sz w:val="24"/>
          <w:lang w:val="bg-BG"/>
        </w:rPr>
        <w:t xml:space="preserve"> </w:t>
      </w:r>
      <w:r w:rsidRPr="00CD4256">
        <w:rPr>
          <w:rFonts w:ascii="Times New Roman" w:hAnsi="Times New Roman"/>
          <w:sz w:val="24"/>
          <w:lang w:val="bg-BG"/>
        </w:rPr>
        <w:t>се коригира.</w:t>
      </w:r>
    </w:p>
    <w:p w:rsidR="00564817" w:rsidRPr="00CD4256" w:rsidRDefault="00564817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64817" w:rsidRPr="00CD4256" w:rsidRDefault="006268D0">
      <w:pPr>
        <w:pStyle w:val="BodyText"/>
        <w:spacing w:before="148"/>
        <w:ind w:right="576"/>
        <w:rPr>
          <w:rFonts w:cs="Times New Roman"/>
          <w:lang w:val="bg-BG"/>
        </w:rPr>
      </w:pPr>
      <w:r w:rsidRPr="00CD4256">
        <w:rPr>
          <w:lang w:val="bg-BG"/>
        </w:rPr>
        <w:t>Офертата получила най-висока комплексна оценка, се класира на първо</w:t>
      </w:r>
      <w:r w:rsidRPr="00CD4256">
        <w:rPr>
          <w:spacing w:val="-16"/>
          <w:lang w:val="bg-BG"/>
        </w:rPr>
        <w:t xml:space="preserve"> </w:t>
      </w:r>
      <w:r w:rsidRPr="00CD4256">
        <w:rPr>
          <w:lang w:val="bg-BG"/>
        </w:rPr>
        <w:t>място.</w:t>
      </w:r>
    </w:p>
    <w:sectPr w:rsidR="00564817" w:rsidRPr="00CD4256" w:rsidSect="00EC145B">
      <w:pgSz w:w="12240" w:h="15840"/>
      <w:pgMar w:top="2660" w:right="840" w:bottom="1860" w:left="1260" w:header="708" w:footer="16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09" w:rsidRDefault="00DF1D09">
      <w:r>
        <w:separator/>
      </w:r>
    </w:p>
  </w:endnote>
  <w:endnote w:type="continuationSeparator" w:id="0">
    <w:p w:rsidR="00DF1D09" w:rsidRDefault="00DF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09" w:rsidRDefault="00DF1D09">
    <w:pPr>
      <w:spacing w:line="14" w:lineRule="auto"/>
      <w:rPr>
        <w:sz w:val="20"/>
        <w:szCs w:val="20"/>
      </w:rPr>
    </w:pPr>
    <w:r w:rsidRPr="000C6B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75pt;margin-top:718.7pt;width:468.5pt;height:38.45pt;z-index:-4552;mso-position-horizontal-relative:page;mso-position-vertical-relative:page" filled="f" stroked="f">
          <v:textbox inset="0,0,0,0">
            <w:txbxContent>
              <w:p w:rsidR="00DF1D09" w:rsidRPr="006268D0" w:rsidRDefault="00DF1D09" w:rsidP="006268D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proofErr w:type="spellStart"/>
                <w:proofErr w:type="gram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Проект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„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Технологична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модернизация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в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предприятието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”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на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„ТРЕМОЛ - ЕС ЕМ ДИ” ООД,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договор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BG-RRP-3.004-0109-C01 е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финансиран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от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Плана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за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възстановяване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и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устойчивост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със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СНД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Главна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дирекция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„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Европейски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фондове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за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конкурентоспособлност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”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към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Министерство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на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иновациите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 xml:space="preserve"> и </w:t>
                </w:r>
                <w:proofErr w:type="spellStart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растежа</w:t>
                </w:r>
                <w:proofErr w:type="spellEnd"/>
                <w:r w:rsidRPr="006268D0">
                  <w:rPr>
                    <w:rFonts w:ascii="Times New Roman" w:hAnsi="Times New Roman" w:cs="Times New Roman"/>
                    <w:sz w:val="20"/>
                    <w:szCs w:val="20"/>
                    <w:lang w:bidi="en-US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  <w:r w:rsidRPr="000C6B22">
      <w:pict>
        <v:shape id="_x0000_s1025" type="#_x0000_t202" style="position:absolute;margin-left:556.1pt;margin-top:718.7pt;width:10pt;height:14pt;z-index:-4528;mso-position-horizontal-relative:page;mso-position-vertical-relative:page" filled="f" stroked="f">
          <v:textbox inset="0,0,0,0">
            <w:txbxContent>
              <w:p w:rsidR="00DF1D09" w:rsidRDefault="00DF1D09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fldSimple w:instr=" PAGE ">
                  <w:r w:rsidR="0062112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09" w:rsidRDefault="00DF1D09">
      <w:r>
        <w:separator/>
      </w:r>
    </w:p>
  </w:footnote>
  <w:footnote w:type="continuationSeparator" w:id="0">
    <w:p w:rsidR="00DF1D09" w:rsidRDefault="00DF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lang w:val="bg-BG"/>
      </w:rPr>
    </w:pPr>
    <w:r>
      <w:rPr>
        <w:rFonts w:cs="Times New Roman"/>
        <w:b w:val="0"/>
        <w:bCs w:val="0"/>
        <w:noProof/>
        <w:color w:val="333333"/>
        <w:sz w:val="26"/>
        <w:szCs w:val="26"/>
        <w:lang w:val="bg-BG" w:eastAsia="bg-BG"/>
      </w:rPr>
      <w:drawing>
        <wp:anchor distT="0" distB="0" distL="114300" distR="114300" simplePos="0" relativeHeight="503314000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-68580</wp:posOffset>
          </wp:positionV>
          <wp:extent cx="933450" cy="885825"/>
          <wp:effectExtent l="19050" t="0" r="0" b="0"/>
          <wp:wrapNone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cs="Times New Roman"/>
        <w:b w:val="0"/>
        <w:bCs w:val="0"/>
        <w:noProof/>
        <w:color w:val="333333"/>
        <w:sz w:val="26"/>
        <w:szCs w:val="26"/>
        <w:lang w:val="bg-BG" w:eastAsia="bg-BG"/>
      </w:rPr>
      <w:drawing>
        <wp:anchor distT="0" distB="0" distL="114300" distR="114300" simplePos="0" relativeHeight="503312976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-68580</wp:posOffset>
          </wp:positionV>
          <wp:extent cx="2962275" cy="80010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80010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lang w:val="bg-BG"/>
      </w:rPr>
    </w:pPr>
  </w:p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lang w:val="bg-BG"/>
      </w:rPr>
    </w:pPr>
  </w:p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lang w:val="bg-BG"/>
      </w:rPr>
    </w:pPr>
  </w:p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lang w:val="bg-BG"/>
      </w:rPr>
    </w:pPr>
  </w:p>
  <w:p w:rsidR="00DF1D09" w:rsidRDefault="00DF1D09" w:rsidP="006268D0">
    <w:pPr>
      <w:pStyle w:val="Heading1"/>
      <w:shd w:val="clear" w:color="auto" w:fill="FFFFFF"/>
      <w:spacing w:line="240" w:lineRule="atLeast"/>
      <w:jc w:val="center"/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</w:pPr>
    <w:proofErr w:type="spellStart"/>
    <w:r w:rsidRPr="00A51408">
      <w:rPr>
        <w:rFonts w:cs="Times New Roman"/>
        <w:b w:val="0"/>
        <w:bCs w:val="0"/>
        <w:color w:val="333333"/>
        <w:sz w:val="26"/>
        <w:szCs w:val="26"/>
      </w:rPr>
      <w:t>Договор</w:t>
    </w:r>
    <w:proofErr w:type="spellEnd"/>
    <w:r w:rsidRPr="00A51408">
      <w:rPr>
        <w:rFonts w:cs="Times New Roman"/>
        <w:b w:val="0"/>
        <w:bCs w:val="0"/>
        <w:color w:val="333333"/>
        <w:sz w:val="26"/>
        <w:szCs w:val="26"/>
      </w:rPr>
      <w:t xml:space="preserve"> № BG-RRP-3.004-0109-C01 - </w:t>
    </w:r>
    <w:proofErr w:type="spellStart"/>
    <w:r w:rsidRPr="00A51408"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  <w:t>Технологична</w:t>
    </w:r>
    <w:proofErr w:type="spellEnd"/>
    <w:r w:rsidRPr="00A51408"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  <w:t xml:space="preserve"> </w:t>
    </w:r>
    <w:proofErr w:type="spellStart"/>
    <w:r w:rsidRPr="00A51408"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  <w:t>модернизация</w:t>
    </w:r>
    <w:proofErr w:type="spellEnd"/>
    <w:r w:rsidRPr="00A51408"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  <w:t xml:space="preserve"> в </w:t>
    </w:r>
    <w:proofErr w:type="spellStart"/>
    <w:r w:rsidRPr="00A51408">
      <w:rPr>
        <w:rFonts w:cs="Times New Roman"/>
        <w:b w:val="0"/>
        <w:bCs w:val="0"/>
        <w:color w:val="333333"/>
        <w:sz w:val="26"/>
        <w:szCs w:val="26"/>
        <w:shd w:val="clear" w:color="auto" w:fill="FFFFFF"/>
      </w:rPr>
      <w:t>предприятието</w:t>
    </w:r>
    <w:proofErr w:type="spellEnd"/>
  </w:p>
  <w:p w:rsidR="00DF1D09" w:rsidRPr="00CD4256" w:rsidRDefault="00DF1D09">
    <w:pPr>
      <w:spacing w:line="14" w:lineRule="auto"/>
      <w:rPr>
        <w:sz w:val="20"/>
        <w:szCs w:val="20"/>
        <w:lang w:val="bg-BG"/>
      </w:rPr>
    </w:pPr>
    <w:r w:rsidRPr="000C6B22">
      <w:rPr>
        <w:lang w:val="bg-BG"/>
      </w:rPr>
      <w:pict>
        <v:group id="_x0000_s1028" style="position:absolute;margin-left:69.4pt;margin-top:136.2pt;width:473.3pt;height:.1pt;z-index:-4600;mso-position-horizontal-relative:page;mso-position-vertical-relative:page" coordorigin="1388,2724" coordsize="9466,2">
          <v:shape id="_x0000_s1029" style="position:absolute;left:1388;top:2724;width:9466;height:2" coordorigin="1388,2724" coordsize="9466,0" path="m1388,2724r9465,e" filled="f" strokeweight="1.44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CA0"/>
    <w:multiLevelType w:val="hybridMultilevel"/>
    <w:tmpl w:val="6A883D92"/>
    <w:lvl w:ilvl="0" w:tplc="6CB281D0">
      <w:start w:val="1"/>
      <w:numFmt w:val="bullet"/>
      <w:lvlText w:val="-"/>
      <w:lvlJc w:val="left"/>
      <w:pPr>
        <w:ind w:left="581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F0C8EE">
      <w:start w:val="1"/>
      <w:numFmt w:val="lowerLetter"/>
      <w:lvlText w:val="%2."/>
      <w:lvlJc w:val="left"/>
      <w:pPr>
        <w:ind w:left="722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F948C4AC">
      <w:start w:val="1"/>
      <w:numFmt w:val="bullet"/>
      <w:lvlText w:val="o"/>
      <w:lvlJc w:val="left"/>
      <w:pPr>
        <w:ind w:left="1289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B0622BB6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5C2A50A8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BA7A5BC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AACD988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CB76E760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EB82A1C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>
    <w:nsid w:val="202D0FDA"/>
    <w:multiLevelType w:val="hybridMultilevel"/>
    <w:tmpl w:val="0D8C3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A83"/>
    <w:multiLevelType w:val="hybridMultilevel"/>
    <w:tmpl w:val="D0D4D1F4"/>
    <w:lvl w:ilvl="0" w:tplc="8DDE0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57A8"/>
    <w:multiLevelType w:val="hybridMultilevel"/>
    <w:tmpl w:val="FA74EE3C"/>
    <w:lvl w:ilvl="0" w:tplc="77B0F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E765C"/>
    <w:multiLevelType w:val="hybridMultilevel"/>
    <w:tmpl w:val="986CFA88"/>
    <w:lvl w:ilvl="0" w:tplc="5CFCC816">
      <w:start w:val="1"/>
      <w:numFmt w:val="decimal"/>
      <w:lvlText w:val="%1."/>
      <w:lvlJc w:val="left"/>
      <w:pPr>
        <w:ind w:left="51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36" w:hanging="360"/>
      </w:pPr>
    </w:lvl>
    <w:lvl w:ilvl="2" w:tplc="0402001B" w:tentative="1">
      <w:start w:val="1"/>
      <w:numFmt w:val="lowerRoman"/>
      <w:lvlText w:val="%3."/>
      <w:lvlJc w:val="right"/>
      <w:pPr>
        <w:ind w:left="1956" w:hanging="180"/>
      </w:pPr>
    </w:lvl>
    <w:lvl w:ilvl="3" w:tplc="0402000F" w:tentative="1">
      <w:start w:val="1"/>
      <w:numFmt w:val="decimal"/>
      <w:lvlText w:val="%4."/>
      <w:lvlJc w:val="left"/>
      <w:pPr>
        <w:ind w:left="2676" w:hanging="360"/>
      </w:pPr>
    </w:lvl>
    <w:lvl w:ilvl="4" w:tplc="04020019" w:tentative="1">
      <w:start w:val="1"/>
      <w:numFmt w:val="lowerLetter"/>
      <w:lvlText w:val="%5."/>
      <w:lvlJc w:val="left"/>
      <w:pPr>
        <w:ind w:left="3396" w:hanging="360"/>
      </w:pPr>
    </w:lvl>
    <w:lvl w:ilvl="5" w:tplc="0402001B" w:tentative="1">
      <w:start w:val="1"/>
      <w:numFmt w:val="lowerRoman"/>
      <w:lvlText w:val="%6."/>
      <w:lvlJc w:val="right"/>
      <w:pPr>
        <w:ind w:left="4116" w:hanging="180"/>
      </w:pPr>
    </w:lvl>
    <w:lvl w:ilvl="6" w:tplc="0402000F" w:tentative="1">
      <w:start w:val="1"/>
      <w:numFmt w:val="decimal"/>
      <w:lvlText w:val="%7."/>
      <w:lvlJc w:val="left"/>
      <w:pPr>
        <w:ind w:left="4836" w:hanging="360"/>
      </w:pPr>
    </w:lvl>
    <w:lvl w:ilvl="7" w:tplc="04020019" w:tentative="1">
      <w:start w:val="1"/>
      <w:numFmt w:val="lowerLetter"/>
      <w:lvlText w:val="%8."/>
      <w:lvlJc w:val="left"/>
      <w:pPr>
        <w:ind w:left="5556" w:hanging="360"/>
      </w:pPr>
    </w:lvl>
    <w:lvl w:ilvl="8" w:tplc="0402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64817"/>
    <w:rsid w:val="000C6B22"/>
    <w:rsid w:val="001C6114"/>
    <w:rsid w:val="001D369F"/>
    <w:rsid w:val="00564817"/>
    <w:rsid w:val="00621128"/>
    <w:rsid w:val="006268D0"/>
    <w:rsid w:val="007217FE"/>
    <w:rsid w:val="007940EA"/>
    <w:rsid w:val="007C29ED"/>
    <w:rsid w:val="00911F80"/>
    <w:rsid w:val="00982C6B"/>
    <w:rsid w:val="009950F5"/>
    <w:rsid w:val="009C495C"/>
    <w:rsid w:val="00A62909"/>
    <w:rsid w:val="00B212CC"/>
    <w:rsid w:val="00C36C01"/>
    <w:rsid w:val="00C855E1"/>
    <w:rsid w:val="00CD4256"/>
    <w:rsid w:val="00DB13E5"/>
    <w:rsid w:val="00DF1D09"/>
    <w:rsid w:val="00E1010D"/>
    <w:rsid w:val="00EC145B"/>
    <w:rsid w:val="00EE5651"/>
    <w:rsid w:val="00F0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5B"/>
  </w:style>
  <w:style w:type="paragraph" w:styleId="Heading1">
    <w:name w:val="heading 1"/>
    <w:basedOn w:val="Normal"/>
    <w:uiPriority w:val="9"/>
    <w:qFormat/>
    <w:rsid w:val="00EC145B"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145B"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45B"/>
  </w:style>
  <w:style w:type="paragraph" w:customStyle="1" w:styleId="TableParagraph">
    <w:name w:val="Table Paragraph"/>
    <w:basedOn w:val="Normal"/>
    <w:uiPriority w:val="1"/>
    <w:qFormat/>
    <w:rsid w:val="00EC145B"/>
  </w:style>
  <w:style w:type="paragraph" w:styleId="Header">
    <w:name w:val="header"/>
    <w:basedOn w:val="Normal"/>
    <w:link w:val="HeaderChar"/>
    <w:uiPriority w:val="99"/>
    <w:unhideWhenUsed/>
    <w:rsid w:val="00CD42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256"/>
  </w:style>
  <w:style w:type="paragraph" w:styleId="Footer">
    <w:name w:val="footer"/>
    <w:basedOn w:val="Normal"/>
    <w:link w:val="FooterChar"/>
    <w:uiPriority w:val="99"/>
    <w:unhideWhenUsed/>
    <w:rsid w:val="00CD42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256"/>
  </w:style>
  <w:style w:type="character" w:customStyle="1" w:styleId="markedcontent">
    <w:name w:val="markedcontent"/>
    <w:basedOn w:val="DefaultParagraphFont"/>
    <w:rsid w:val="00EE5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finc2</dc:creator>
  <cp:lastModifiedBy>User</cp:lastModifiedBy>
  <cp:revision>3</cp:revision>
  <cp:lastPrinted>2023-05-16T08:11:00Z</cp:lastPrinted>
  <dcterms:created xsi:type="dcterms:W3CDTF">2023-05-16T11:03:00Z</dcterms:created>
  <dcterms:modified xsi:type="dcterms:W3CDTF">2023-05-16T11:23:00Z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